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F7A" w:rsidRPr="000F7F7A" w:rsidRDefault="000F7F7A" w:rsidP="000F7F7A">
      <w:pPr>
        <w:shd w:val="clear" w:color="auto" w:fill="FFFFFF"/>
        <w:spacing w:line="240" w:lineRule="auto"/>
        <w:jc w:val="center"/>
        <w:rPr>
          <w:rFonts w:eastAsia="Times New Roman" w:cs="Times New Roman"/>
          <w:color w:val="auto"/>
          <w:szCs w:val="24"/>
          <w:lang w:val="es-CO"/>
        </w:rPr>
      </w:pPr>
      <w:r w:rsidRPr="000F7F7A">
        <w:rPr>
          <w:rFonts w:eastAsia="Times New Roman" w:cs="Times New Roman"/>
          <w:b/>
          <w:bCs/>
          <w:color w:val="auto"/>
          <w:szCs w:val="24"/>
          <w:lang w:val="es-CO"/>
        </w:rPr>
        <w:t>Concepto Nº 27302</w:t>
      </w:r>
    </w:p>
    <w:p w:rsidR="000F7F7A" w:rsidRPr="000F7F7A" w:rsidRDefault="000F7F7A" w:rsidP="000F7F7A">
      <w:pPr>
        <w:shd w:val="clear" w:color="auto" w:fill="FFFFFF"/>
        <w:spacing w:line="240" w:lineRule="auto"/>
        <w:jc w:val="center"/>
        <w:rPr>
          <w:rFonts w:eastAsia="Times New Roman" w:cs="Times New Roman"/>
          <w:color w:val="auto"/>
          <w:szCs w:val="24"/>
          <w:lang w:val="es-CO"/>
        </w:rPr>
      </w:pPr>
      <w:r w:rsidRPr="000F7F7A">
        <w:rPr>
          <w:rFonts w:eastAsia="Times New Roman" w:cs="Times New Roman"/>
          <w:b/>
          <w:bCs/>
          <w:color w:val="auto"/>
          <w:szCs w:val="24"/>
          <w:lang w:val="es-CO"/>
        </w:rPr>
        <w:t>22-12-2017</w:t>
      </w:r>
    </w:p>
    <w:p w:rsidR="000F7F7A" w:rsidRPr="000F7F7A" w:rsidRDefault="000F7F7A" w:rsidP="000F7F7A">
      <w:pPr>
        <w:shd w:val="clear" w:color="auto" w:fill="FFFFFF"/>
        <w:spacing w:line="240" w:lineRule="auto"/>
        <w:jc w:val="center"/>
        <w:rPr>
          <w:rFonts w:eastAsia="Times New Roman" w:cs="Times New Roman"/>
          <w:color w:val="auto"/>
          <w:szCs w:val="24"/>
          <w:lang w:val="es-CO"/>
        </w:rPr>
      </w:pPr>
      <w:r w:rsidRPr="000F7F7A">
        <w:rPr>
          <w:rFonts w:eastAsia="Times New Roman" w:cs="Times New Roman"/>
          <w:b/>
          <w:bCs/>
          <w:color w:val="auto"/>
          <w:szCs w:val="24"/>
          <w:lang w:val="es-CO"/>
        </w:rPr>
        <w:t>Banco de la República</w:t>
      </w:r>
      <w:bookmarkStart w:id="0" w:name="_GoBack"/>
      <w:bookmarkEnd w:id="0"/>
    </w:p>
    <w:p w:rsidR="000F7F7A" w:rsidRPr="000F7F7A" w:rsidRDefault="000F7F7A" w:rsidP="000F7F7A">
      <w:pPr>
        <w:shd w:val="clear" w:color="auto" w:fill="FFFFFF"/>
        <w:spacing w:line="240" w:lineRule="auto"/>
        <w:rPr>
          <w:rFonts w:eastAsia="Times New Roman" w:cs="Times New Roman"/>
          <w:color w:val="auto"/>
          <w:szCs w:val="24"/>
          <w:lang w:val="es-CO"/>
        </w:rPr>
      </w:pPr>
      <w:r w:rsidRPr="000F7F7A">
        <w:rPr>
          <w:rFonts w:eastAsia="Times New Roman" w:cs="Times New Roman"/>
          <w:b/>
          <w:bCs/>
          <w:color w:val="auto"/>
          <w:szCs w:val="24"/>
          <w:lang w:val="es-CO"/>
        </w:rPr>
        <w:t> </w:t>
      </w:r>
    </w:p>
    <w:p w:rsidR="000F7F7A" w:rsidRPr="000F7F7A" w:rsidRDefault="000F7F7A" w:rsidP="000F7F7A">
      <w:pPr>
        <w:shd w:val="clear" w:color="auto" w:fill="FFFFFF"/>
        <w:spacing w:line="240" w:lineRule="auto"/>
        <w:rPr>
          <w:rFonts w:eastAsia="Times New Roman" w:cs="Times New Roman"/>
          <w:color w:val="auto"/>
          <w:szCs w:val="24"/>
          <w:lang w:val="es-CO"/>
        </w:rPr>
      </w:pPr>
      <w:r w:rsidRPr="000F7F7A">
        <w:rPr>
          <w:rFonts w:eastAsia="Times New Roman" w:cs="Times New Roman"/>
          <w:b/>
          <w:bCs/>
          <w:color w:val="auto"/>
          <w:szCs w:val="24"/>
          <w:lang w:val="es-CO"/>
        </w:rPr>
        <w:t> </w:t>
      </w:r>
    </w:p>
    <w:p w:rsidR="000F7F7A" w:rsidRPr="000F7F7A" w:rsidRDefault="000F7F7A" w:rsidP="000F7F7A">
      <w:pPr>
        <w:shd w:val="clear" w:color="auto" w:fill="FFFFFF"/>
        <w:spacing w:line="240" w:lineRule="auto"/>
        <w:rPr>
          <w:rFonts w:eastAsia="Times New Roman" w:cs="Times New Roman"/>
          <w:color w:val="auto"/>
          <w:szCs w:val="24"/>
          <w:lang w:val="es-CO"/>
        </w:rPr>
      </w:pPr>
      <w:r w:rsidRPr="000F7F7A">
        <w:rPr>
          <w:rFonts w:eastAsia="Times New Roman" w:cs="Times New Roman"/>
          <w:color w:val="auto"/>
          <w:szCs w:val="24"/>
          <w:lang w:val="es-CO"/>
        </w:rPr>
        <w:t>"(...)</w:t>
      </w:r>
    </w:p>
    <w:p w:rsidR="000F7F7A" w:rsidRPr="000F7F7A" w:rsidRDefault="000F7F7A" w:rsidP="000F7F7A">
      <w:pPr>
        <w:shd w:val="clear" w:color="auto" w:fill="FFFFFF"/>
        <w:spacing w:line="240" w:lineRule="auto"/>
        <w:rPr>
          <w:rFonts w:eastAsia="Times New Roman" w:cs="Times New Roman"/>
          <w:color w:val="auto"/>
          <w:szCs w:val="24"/>
          <w:lang w:val="es-CO"/>
        </w:rPr>
      </w:pPr>
      <w:r w:rsidRPr="000F7F7A">
        <w:rPr>
          <w:rFonts w:eastAsia="Times New Roman" w:cs="Times New Roman"/>
          <w:color w:val="auto"/>
          <w:szCs w:val="24"/>
          <w:lang w:val="es-CO"/>
        </w:rPr>
        <w:t>Damos respuesta a su comunicación (...), mediante la cual consulta si los saldos en cuentas bancarias (ahorro o corrientes) o de ahorro pensional, CDT, inmuebles, vehículos y derechos en fundaciones del exterior que han sido objeto de normalización tributaria (Ley 1739 de 2014), deben registrarse ante el Banco de la República como inversión financiera o en activos en el exterior. Adicionalmente, consulta si no existe obligación de registro cuando el valor de los activos no es igual o superior a USD500,000.</w:t>
      </w:r>
    </w:p>
    <w:p w:rsidR="000F7F7A" w:rsidRPr="000F7F7A" w:rsidRDefault="000F7F7A" w:rsidP="000F7F7A">
      <w:pPr>
        <w:shd w:val="clear" w:color="auto" w:fill="FFFFFF"/>
        <w:spacing w:line="240" w:lineRule="auto"/>
        <w:rPr>
          <w:rFonts w:eastAsia="Times New Roman" w:cs="Times New Roman"/>
          <w:color w:val="auto"/>
          <w:szCs w:val="24"/>
          <w:lang w:val="es-CO"/>
        </w:rPr>
      </w:pPr>
      <w:r w:rsidRPr="000F7F7A">
        <w:rPr>
          <w:rFonts w:eastAsia="Times New Roman" w:cs="Times New Roman"/>
          <w:color w:val="auto"/>
          <w:szCs w:val="24"/>
          <w:lang w:val="es-CO"/>
        </w:rPr>
        <w:t> </w:t>
      </w:r>
    </w:p>
    <w:p w:rsidR="000F7F7A" w:rsidRPr="000F7F7A" w:rsidRDefault="000F7F7A" w:rsidP="000F7F7A">
      <w:pPr>
        <w:shd w:val="clear" w:color="auto" w:fill="FFFFFF"/>
        <w:spacing w:line="240" w:lineRule="auto"/>
        <w:rPr>
          <w:rFonts w:eastAsia="Times New Roman" w:cs="Times New Roman"/>
          <w:color w:val="auto"/>
          <w:szCs w:val="24"/>
          <w:lang w:val="es-CO"/>
        </w:rPr>
      </w:pPr>
      <w:r w:rsidRPr="000F7F7A">
        <w:rPr>
          <w:rFonts w:eastAsia="Times New Roman" w:cs="Times New Roman"/>
          <w:color w:val="auto"/>
          <w:szCs w:val="24"/>
          <w:lang w:val="es-CO"/>
        </w:rPr>
        <w:t>Al respecto, le informamos que el artículo 36 de la Resolución Externa No. 8 de 2000 de la Junta Directiva del Banco de la República y sus modificaciones define como inversión financiera y en activos radicados en el exterior:</w:t>
      </w:r>
    </w:p>
    <w:p w:rsidR="000F7F7A" w:rsidRPr="000F7F7A" w:rsidRDefault="000F7F7A" w:rsidP="000F7F7A">
      <w:pPr>
        <w:shd w:val="clear" w:color="auto" w:fill="FFFFFF"/>
        <w:spacing w:line="240" w:lineRule="auto"/>
        <w:rPr>
          <w:rFonts w:eastAsia="Times New Roman" w:cs="Times New Roman"/>
          <w:color w:val="auto"/>
          <w:szCs w:val="24"/>
          <w:lang w:val="es-CO"/>
        </w:rPr>
      </w:pPr>
      <w:r w:rsidRPr="000F7F7A">
        <w:rPr>
          <w:rFonts w:eastAsia="Times New Roman" w:cs="Times New Roman"/>
          <w:color w:val="auto"/>
          <w:szCs w:val="24"/>
          <w:lang w:val="es-CO"/>
        </w:rPr>
        <w:t> </w:t>
      </w:r>
    </w:p>
    <w:p w:rsidR="000F7F7A" w:rsidRPr="000F7F7A" w:rsidRDefault="000F7F7A" w:rsidP="000F7F7A">
      <w:pPr>
        <w:shd w:val="clear" w:color="auto" w:fill="FFFFFF"/>
        <w:spacing w:line="240" w:lineRule="auto"/>
        <w:rPr>
          <w:rFonts w:eastAsia="Times New Roman" w:cs="Times New Roman"/>
          <w:color w:val="auto"/>
          <w:szCs w:val="24"/>
          <w:lang w:val="es-CO"/>
        </w:rPr>
      </w:pPr>
      <w:r w:rsidRPr="000F7F7A">
        <w:rPr>
          <w:rFonts w:eastAsia="Times New Roman" w:cs="Times New Roman"/>
          <w:color w:val="auto"/>
          <w:szCs w:val="24"/>
          <w:lang w:val="es-CO"/>
        </w:rPr>
        <w:t>a. La compra de títulos emitidos o activos radicados en el exterior</w:t>
      </w:r>
    </w:p>
    <w:p w:rsidR="000F7F7A" w:rsidRPr="000F7F7A" w:rsidRDefault="000F7F7A" w:rsidP="000F7F7A">
      <w:pPr>
        <w:shd w:val="clear" w:color="auto" w:fill="FFFFFF"/>
        <w:spacing w:line="240" w:lineRule="auto"/>
        <w:rPr>
          <w:rFonts w:eastAsia="Times New Roman" w:cs="Times New Roman"/>
          <w:color w:val="auto"/>
          <w:szCs w:val="24"/>
          <w:lang w:val="es-CO"/>
        </w:rPr>
      </w:pPr>
      <w:r w:rsidRPr="000F7F7A">
        <w:rPr>
          <w:rFonts w:eastAsia="Times New Roman" w:cs="Times New Roman"/>
          <w:color w:val="auto"/>
          <w:szCs w:val="24"/>
          <w:lang w:val="es-CO"/>
        </w:rPr>
        <w:t>b. La compra con descuento en el exterior de la totalidad o parte de las obligaciones privadas externas, deuda externa pública y bonos o títulos de deuda pública externa.</w:t>
      </w:r>
    </w:p>
    <w:p w:rsidR="000F7F7A" w:rsidRPr="000F7F7A" w:rsidRDefault="000F7F7A" w:rsidP="000F7F7A">
      <w:pPr>
        <w:shd w:val="clear" w:color="auto" w:fill="FFFFFF"/>
        <w:spacing w:line="240" w:lineRule="auto"/>
        <w:rPr>
          <w:rFonts w:eastAsia="Times New Roman" w:cs="Times New Roman"/>
          <w:color w:val="auto"/>
          <w:szCs w:val="24"/>
          <w:lang w:val="es-CO"/>
        </w:rPr>
      </w:pPr>
      <w:r w:rsidRPr="000F7F7A">
        <w:rPr>
          <w:rFonts w:eastAsia="Times New Roman" w:cs="Times New Roman"/>
          <w:color w:val="auto"/>
          <w:szCs w:val="24"/>
          <w:lang w:val="es-CO"/>
        </w:rPr>
        <w:t>c. Los giros al exterior originados en la colocación a residentes en el país de títulos emitidos por empresas del exterior y de gobiernos extranjeros o garantizados por éstos, por parte del emisor o su agente en Colombia, siempre que la respectiva colocación sea autorizada por la Superintendencia Financiera.</w:t>
      </w:r>
    </w:p>
    <w:p w:rsidR="000F7F7A" w:rsidRPr="000F7F7A" w:rsidRDefault="000F7F7A" w:rsidP="000F7F7A">
      <w:pPr>
        <w:shd w:val="clear" w:color="auto" w:fill="FFFFFF"/>
        <w:spacing w:line="240" w:lineRule="auto"/>
        <w:rPr>
          <w:rFonts w:eastAsia="Times New Roman" w:cs="Times New Roman"/>
          <w:color w:val="auto"/>
          <w:szCs w:val="24"/>
          <w:lang w:val="es-CO"/>
        </w:rPr>
      </w:pPr>
      <w:r w:rsidRPr="000F7F7A">
        <w:rPr>
          <w:rFonts w:eastAsia="Times New Roman" w:cs="Times New Roman"/>
          <w:color w:val="auto"/>
          <w:szCs w:val="24"/>
          <w:lang w:val="es-CO"/>
        </w:rPr>
        <w:t> </w:t>
      </w:r>
    </w:p>
    <w:p w:rsidR="000F7F7A" w:rsidRPr="000F7F7A" w:rsidRDefault="000F7F7A" w:rsidP="000F7F7A">
      <w:pPr>
        <w:shd w:val="clear" w:color="auto" w:fill="FFFFFF"/>
        <w:spacing w:line="240" w:lineRule="auto"/>
        <w:rPr>
          <w:rFonts w:eastAsia="Times New Roman" w:cs="Times New Roman"/>
          <w:color w:val="auto"/>
          <w:szCs w:val="24"/>
          <w:lang w:val="es-CO"/>
        </w:rPr>
      </w:pPr>
      <w:r w:rsidRPr="000F7F7A">
        <w:rPr>
          <w:rFonts w:eastAsia="Times New Roman" w:cs="Times New Roman"/>
          <w:color w:val="auto"/>
          <w:szCs w:val="24"/>
          <w:lang w:val="es-CO"/>
        </w:rPr>
        <w:t>De acuerdo con lo anterior, los saldos en cuentas de ahorro pensional, que reconozcan sus rendimientos financieros, los CDTS, inmuebles y vehículos corresponden a la primera definición, esto es a la compra de activos radicados en el exterior, por lo que son susceptibles de registrarse ante el Banco de la República como inversión financiera o en activos en el exterior. El procedimiento de registro se encuentra definido en el numeral 7.5. del Capítulo 7 de la Circular Reglamentaria Externa DCIN-83 y sus modificaciones (CRE DCIN-83).</w:t>
      </w:r>
    </w:p>
    <w:p w:rsidR="000F7F7A" w:rsidRPr="000F7F7A" w:rsidRDefault="000F7F7A" w:rsidP="000F7F7A">
      <w:pPr>
        <w:shd w:val="clear" w:color="auto" w:fill="FFFFFF"/>
        <w:spacing w:line="240" w:lineRule="auto"/>
        <w:rPr>
          <w:rFonts w:eastAsia="Times New Roman" w:cs="Times New Roman"/>
          <w:color w:val="auto"/>
          <w:szCs w:val="24"/>
          <w:lang w:val="es-CO"/>
        </w:rPr>
      </w:pPr>
      <w:r w:rsidRPr="000F7F7A">
        <w:rPr>
          <w:rFonts w:eastAsia="Times New Roman" w:cs="Times New Roman"/>
          <w:color w:val="auto"/>
          <w:szCs w:val="24"/>
          <w:lang w:val="es-CO"/>
        </w:rPr>
        <w:t> </w:t>
      </w:r>
    </w:p>
    <w:p w:rsidR="000F7F7A" w:rsidRPr="000F7F7A" w:rsidRDefault="000F7F7A" w:rsidP="000F7F7A">
      <w:pPr>
        <w:shd w:val="clear" w:color="auto" w:fill="FFFFFF"/>
        <w:spacing w:line="240" w:lineRule="auto"/>
        <w:rPr>
          <w:rFonts w:eastAsia="Times New Roman" w:cs="Times New Roman"/>
          <w:color w:val="auto"/>
          <w:szCs w:val="24"/>
          <w:lang w:val="es-CO"/>
        </w:rPr>
      </w:pPr>
      <w:r w:rsidRPr="000F7F7A">
        <w:rPr>
          <w:rFonts w:eastAsia="Times New Roman" w:cs="Times New Roman"/>
          <w:color w:val="auto"/>
          <w:szCs w:val="24"/>
          <w:lang w:val="es-CO"/>
        </w:rPr>
        <w:t>Ahora bien, sobre los saldos en las cuentas bancarias que los residentes colombianos tienen en el exterior (cuentas del mercado libre - artículo 55 de la Resolución Externa No. 8 de 2000 y sus modificaciones) es preciso mencionar que estos depósitos son un mecanismo de tenencia de divisas y no constituyen en sí mismas inversiones financieras bajo la regulación cambiara. Por tanto, las cuentas del mercado libre o aquellas que se registren en el Banco de la República bajo el mecanismo de compensación no deben registrarse como inversión financiera y en activos radicados en el exterior.</w:t>
      </w:r>
    </w:p>
    <w:p w:rsidR="000F7F7A" w:rsidRPr="000F7F7A" w:rsidRDefault="000F7F7A" w:rsidP="000F7F7A">
      <w:pPr>
        <w:shd w:val="clear" w:color="auto" w:fill="FFFFFF"/>
        <w:spacing w:line="240" w:lineRule="auto"/>
        <w:rPr>
          <w:rFonts w:eastAsia="Times New Roman" w:cs="Times New Roman"/>
          <w:color w:val="auto"/>
          <w:szCs w:val="24"/>
          <w:lang w:val="es-CO"/>
        </w:rPr>
      </w:pPr>
      <w:r w:rsidRPr="000F7F7A">
        <w:rPr>
          <w:rFonts w:eastAsia="Times New Roman" w:cs="Times New Roman"/>
          <w:color w:val="auto"/>
          <w:szCs w:val="24"/>
          <w:lang w:val="es-CO"/>
        </w:rPr>
        <w:t> </w:t>
      </w:r>
    </w:p>
    <w:p w:rsidR="000F7F7A" w:rsidRPr="000F7F7A" w:rsidRDefault="000F7F7A" w:rsidP="000F7F7A">
      <w:pPr>
        <w:shd w:val="clear" w:color="auto" w:fill="FFFFFF"/>
        <w:spacing w:line="240" w:lineRule="auto"/>
        <w:rPr>
          <w:rFonts w:eastAsia="Times New Roman" w:cs="Times New Roman"/>
          <w:color w:val="auto"/>
          <w:szCs w:val="24"/>
          <w:lang w:val="es-CO"/>
        </w:rPr>
      </w:pPr>
      <w:r w:rsidRPr="000F7F7A">
        <w:rPr>
          <w:rFonts w:eastAsia="Times New Roman" w:cs="Times New Roman"/>
          <w:color w:val="auto"/>
          <w:szCs w:val="24"/>
          <w:lang w:val="es-CO"/>
        </w:rPr>
        <w:t>En relación con los derechos en fundaciones del exterior, el artículo 2.17.2.4.1.1 del Decreto 119 de 2017, mediante el cual se modifica el Decreto 1068 de 2015 (Régimen de las Inversiones Internacionales</w:t>
      </w:r>
      <w:bookmarkStart w:id="1" w:name="_ftnref1"/>
      <w:r w:rsidRPr="000F7F7A">
        <w:rPr>
          <w:rFonts w:eastAsia="Times New Roman" w:cs="Times New Roman"/>
          <w:color w:val="auto"/>
          <w:szCs w:val="24"/>
          <w:lang w:val="es-CO"/>
        </w:rPr>
        <w:fldChar w:fldCharType="begin"/>
      </w:r>
      <w:r w:rsidRPr="000F7F7A">
        <w:rPr>
          <w:rFonts w:eastAsia="Times New Roman" w:cs="Times New Roman"/>
          <w:color w:val="auto"/>
          <w:szCs w:val="24"/>
          <w:lang w:val="es-CO"/>
        </w:rPr>
        <w:instrText xml:space="preserve"> HYPERLINK "https://www.ceta.org.co/html/vista_de_un_documento.asp?DocumentoID=33945" \l "_ftn1" \o "" </w:instrText>
      </w:r>
      <w:r w:rsidRPr="000F7F7A">
        <w:rPr>
          <w:rFonts w:eastAsia="Times New Roman" w:cs="Times New Roman"/>
          <w:color w:val="auto"/>
          <w:szCs w:val="24"/>
          <w:lang w:val="es-CO"/>
        </w:rPr>
        <w:fldChar w:fldCharType="separate"/>
      </w:r>
      <w:r w:rsidRPr="000F7F7A">
        <w:rPr>
          <w:rFonts w:eastAsia="Times New Roman" w:cs="Times New Roman"/>
          <w:color w:val="auto"/>
          <w:szCs w:val="24"/>
          <w:lang w:val="es-CO"/>
        </w:rPr>
        <w:t>[1]</w:t>
      </w:r>
      <w:r w:rsidRPr="000F7F7A">
        <w:rPr>
          <w:rFonts w:eastAsia="Times New Roman" w:cs="Times New Roman"/>
          <w:color w:val="auto"/>
          <w:szCs w:val="24"/>
          <w:lang w:val="es-CO"/>
        </w:rPr>
        <w:fldChar w:fldCharType="end"/>
      </w:r>
      <w:bookmarkEnd w:id="1"/>
      <w:r w:rsidRPr="000F7F7A">
        <w:rPr>
          <w:rFonts w:eastAsia="Times New Roman" w:cs="Times New Roman"/>
          <w:color w:val="auto"/>
          <w:szCs w:val="24"/>
          <w:lang w:val="es-CO"/>
        </w:rPr>
        <w:t>), define como inversión colombiana en el exterior </w:t>
      </w:r>
      <w:r w:rsidRPr="000F7F7A">
        <w:rPr>
          <w:rFonts w:eastAsia="Times New Roman" w:cs="Times New Roman"/>
          <w:i/>
          <w:iCs/>
          <w:color w:val="auto"/>
          <w:szCs w:val="24"/>
          <w:lang w:val="es-CO"/>
        </w:rPr>
        <w:t>“(…) las acciones, cuotas, derechos u otras participaciones en el capital de sociedades, sucursales o cualquier tipo de empresa, en cualquier proporción, ubicadas fuera de Colombia, adquiridas por un residente en virtud de un acto, contrato u operación lícita. (…)”.</w:t>
      </w:r>
      <w:r w:rsidRPr="000F7F7A">
        <w:rPr>
          <w:rFonts w:eastAsia="Times New Roman" w:cs="Times New Roman"/>
          <w:color w:val="auto"/>
          <w:szCs w:val="24"/>
          <w:lang w:val="es-CO"/>
        </w:rPr>
        <w:t> En este orden de ideas, si la contribución se hace a favor de una fundación entendida como empresa con destino a formar parte del capital de la misma o de una cuenta equivalente para este tipo de entidades, se trataría de una inversión colombiana en el exterior, de lo contrario, es decir si la fundación no corresponde a la categoría de empresas en el exterior se trataría de una inversión financiera y en activos en el exterior, susceptibles de registro en el Banco de la República, conforme al procedimiento definido en el numeral 7.5. del Capítulo 7 de la CRE DCIN-83.</w:t>
      </w:r>
    </w:p>
    <w:p w:rsidR="000F7F7A" w:rsidRPr="000F7F7A" w:rsidRDefault="000F7F7A" w:rsidP="000F7F7A">
      <w:pPr>
        <w:shd w:val="clear" w:color="auto" w:fill="FFFFFF"/>
        <w:spacing w:line="240" w:lineRule="auto"/>
        <w:rPr>
          <w:rFonts w:eastAsia="Times New Roman" w:cs="Times New Roman"/>
          <w:color w:val="auto"/>
          <w:szCs w:val="24"/>
          <w:lang w:val="es-CO"/>
        </w:rPr>
      </w:pPr>
      <w:r w:rsidRPr="000F7F7A">
        <w:rPr>
          <w:rFonts w:eastAsia="Times New Roman" w:cs="Times New Roman"/>
          <w:color w:val="auto"/>
          <w:szCs w:val="24"/>
          <w:lang w:val="es-CO"/>
        </w:rPr>
        <w:t> </w:t>
      </w:r>
    </w:p>
    <w:p w:rsidR="000F7F7A" w:rsidRPr="000F7F7A" w:rsidRDefault="000F7F7A" w:rsidP="000F7F7A">
      <w:pPr>
        <w:shd w:val="clear" w:color="auto" w:fill="FFFFFF"/>
        <w:spacing w:line="240" w:lineRule="auto"/>
        <w:rPr>
          <w:rFonts w:eastAsia="Times New Roman" w:cs="Times New Roman"/>
          <w:color w:val="auto"/>
          <w:szCs w:val="24"/>
        </w:rPr>
      </w:pPr>
      <w:r w:rsidRPr="000F7F7A">
        <w:rPr>
          <w:rFonts w:eastAsia="Times New Roman" w:cs="Times New Roman"/>
          <w:color w:val="auto"/>
          <w:szCs w:val="24"/>
          <w:lang w:val="es-CO"/>
        </w:rPr>
        <w:t>Ahora, sobre el monto a partir del cual se deben registrar estas inversiones el literal b) del numeral 7.5. de la CRE DCIN-83, establece lo siguiente: </w:t>
      </w:r>
      <w:r w:rsidRPr="000F7F7A">
        <w:rPr>
          <w:rFonts w:eastAsia="Times New Roman" w:cs="Times New Roman"/>
          <w:i/>
          <w:iCs/>
          <w:color w:val="auto"/>
          <w:szCs w:val="24"/>
          <w:lang w:val="es-CO"/>
        </w:rPr>
        <w:t xml:space="preserve">“(…) Podrán registrarse en forma voluntaria las inversiones financieras y en activos en el exterior efectuadas con divisas que </w:t>
      </w:r>
      <w:r w:rsidRPr="000F7F7A">
        <w:rPr>
          <w:rFonts w:eastAsia="Times New Roman" w:cs="Times New Roman"/>
          <w:i/>
          <w:iCs/>
          <w:color w:val="auto"/>
          <w:szCs w:val="24"/>
          <w:lang w:val="es-CO"/>
        </w:rPr>
        <w:lastRenderedPageBreak/>
        <w:t>no deben canalizarse a través del mercado cambiario, cuando el monto de la inversión sea inferior a quinientos mil dólares de los Estados Unidos de América (US$500.000) o su equivalente en otras monedas. (…)”</w:t>
      </w:r>
    </w:p>
    <w:p w:rsidR="000F7F7A" w:rsidRPr="000F7F7A" w:rsidRDefault="000F7F7A" w:rsidP="000F7F7A">
      <w:pPr>
        <w:spacing w:line="240" w:lineRule="auto"/>
        <w:rPr>
          <w:rFonts w:eastAsia="Times New Roman" w:cs="Times New Roman"/>
          <w:color w:val="auto"/>
          <w:szCs w:val="24"/>
        </w:rPr>
      </w:pPr>
      <w:r w:rsidRPr="000F7F7A">
        <w:rPr>
          <w:rFonts w:eastAsia="Times New Roman" w:cs="Times New Roman"/>
          <w:color w:val="auto"/>
          <w:szCs w:val="24"/>
        </w:rPr>
        <w:br w:type="textWrapping" w:clear="all"/>
      </w:r>
    </w:p>
    <w:p w:rsidR="000F7F7A" w:rsidRPr="000F7F7A" w:rsidRDefault="000F7F7A" w:rsidP="000F7F7A">
      <w:pPr>
        <w:spacing w:line="240" w:lineRule="auto"/>
        <w:rPr>
          <w:rFonts w:eastAsia="Times New Roman" w:cs="Times New Roman"/>
          <w:color w:val="auto"/>
          <w:szCs w:val="24"/>
        </w:rPr>
      </w:pPr>
      <w:r w:rsidRPr="000F7F7A">
        <w:rPr>
          <w:rFonts w:eastAsia="Times New Roman" w:cs="Times New Roman"/>
          <w:color w:val="auto"/>
          <w:szCs w:val="24"/>
        </w:rPr>
        <w:pict>
          <v:rect id="_x0000_i1025" style="width:145pt;height:.6pt" o:hrpct="330" o:hrstd="t" o:hr="t" fillcolor="#a0a0a0" stroked="f"/>
        </w:pict>
      </w:r>
    </w:p>
    <w:bookmarkStart w:id="2" w:name="_ftn1"/>
    <w:p w:rsidR="000F7F7A" w:rsidRPr="000F7F7A" w:rsidRDefault="000F7F7A" w:rsidP="000F7F7A">
      <w:pPr>
        <w:shd w:val="clear" w:color="auto" w:fill="FFFFFF"/>
        <w:spacing w:line="240" w:lineRule="auto"/>
        <w:rPr>
          <w:rFonts w:eastAsia="Times New Roman" w:cs="Times New Roman"/>
          <w:color w:val="auto"/>
          <w:szCs w:val="24"/>
          <w:lang w:val="es-CO"/>
        </w:rPr>
      </w:pPr>
      <w:r w:rsidRPr="000F7F7A">
        <w:rPr>
          <w:rFonts w:eastAsia="Times New Roman" w:cs="Times New Roman"/>
          <w:color w:val="auto"/>
          <w:szCs w:val="24"/>
        </w:rPr>
        <w:fldChar w:fldCharType="begin"/>
      </w:r>
      <w:r w:rsidRPr="000F7F7A">
        <w:rPr>
          <w:rFonts w:eastAsia="Times New Roman" w:cs="Times New Roman"/>
          <w:color w:val="auto"/>
          <w:szCs w:val="24"/>
          <w:lang w:val="es-CO"/>
        </w:rPr>
        <w:instrText xml:space="preserve"> HYPERLINK "https://www.ceta.org.co/html/vista_de_un_documento.asp?DocumentoID=33945" \l "_ftnref1" \o "" </w:instrText>
      </w:r>
      <w:r w:rsidRPr="000F7F7A">
        <w:rPr>
          <w:rFonts w:eastAsia="Times New Roman" w:cs="Times New Roman"/>
          <w:color w:val="auto"/>
          <w:szCs w:val="24"/>
        </w:rPr>
        <w:fldChar w:fldCharType="separate"/>
      </w:r>
      <w:r w:rsidRPr="000F7F7A">
        <w:rPr>
          <w:rFonts w:eastAsia="Times New Roman" w:cs="Times New Roman"/>
          <w:color w:val="auto"/>
          <w:szCs w:val="24"/>
          <w:lang w:val="es-CO"/>
        </w:rPr>
        <w:t>[1]</w:t>
      </w:r>
      <w:r w:rsidRPr="000F7F7A">
        <w:rPr>
          <w:rFonts w:eastAsia="Times New Roman" w:cs="Times New Roman"/>
          <w:color w:val="auto"/>
          <w:szCs w:val="24"/>
        </w:rPr>
        <w:fldChar w:fldCharType="end"/>
      </w:r>
      <w:bookmarkEnd w:id="2"/>
      <w:r w:rsidRPr="000F7F7A">
        <w:rPr>
          <w:rFonts w:eastAsia="Times New Roman" w:cs="Times New Roman"/>
          <w:color w:val="auto"/>
          <w:szCs w:val="24"/>
          <w:lang w:val="es-CO"/>
        </w:rPr>
        <w:t> Inversiones de capital del exterior en el país y colombianas en el exterior.</w:t>
      </w:r>
    </w:p>
    <w:p w:rsidR="000F7F7A" w:rsidRPr="000F7F7A" w:rsidRDefault="000F7F7A" w:rsidP="000F7F7A">
      <w:pPr>
        <w:spacing w:after="285" w:line="240" w:lineRule="auto"/>
        <w:rPr>
          <w:rFonts w:eastAsia="Times New Roman" w:cs="Times New Roman"/>
          <w:color w:val="auto"/>
          <w:szCs w:val="24"/>
          <w:lang w:val="es-CO"/>
        </w:rPr>
      </w:pPr>
      <w:r w:rsidRPr="000F7F7A">
        <w:rPr>
          <w:rFonts w:eastAsia="Times New Roman" w:cs="Times New Roman"/>
          <w:color w:val="auto"/>
          <w:szCs w:val="24"/>
          <w:lang w:val="es-CO"/>
        </w:rPr>
        <w:t> </w:t>
      </w:r>
    </w:p>
    <w:p w:rsidR="00147980" w:rsidRPr="000F7F7A" w:rsidRDefault="00147980">
      <w:pPr>
        <w:rPr>
          <w:rFonts w:cs="Times New Roman"/>
          <w:color w:val="auto"/>
          <w:szCs w:val="24"/>
          <w:lang w:val="es-CO"/>
        </w:rPr>
      </w:pPr>
    </w:p>
    <w:sectPr w:rsidR="00147980" w:rsidRPr="000F7F7A" w:rsidSect="00B66046">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7A"/>
    <w:rsid w:val="000F7F7A"/>
    <w:rsid w:val="00147980"/>
    <w:rsid w:val="00B66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2A15DF-2CB9-4010-992F-EC6E0E51F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614454">
      <w:bodyDiv w:val="1"/>
      <w:marLeft w:val="0"/>
      <w:marRight w:val="0"/>
      <w:marTop w:val="0"/>
      <w:marBottom w:val="0"/>
      <w:divBdr>
        <w:top w:val="none" w:sz="0" w:space="0" w:color="auto"/>
        <w:left w:val="none" w:sz="0" w:space="0" w:color="auto"/>
        <w:bottom w:val="none" w:sz="0" w:space="0" w:color="auto"/>
        <w:right w:val="none" w:sz="0" w:space="0" w:color="auto"/>
      </w:divBdr>
      <w:divsChild>
        <w:div w:id="1006323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3723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2018-04-21T22:41:00Z</dcterms:created>
  <dcterms:modified xsi:type="dcterms:W3CDTF">2018-04-21T22:42:00Z</dcterms:modified>
</cp:coreProperties>
</file>